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5726" w14:textId="43218F81" w:rsidR="00510A3A" w:rsidRDefault="00510A3A" w:rsidP="00510A3A">
      <w:pPr>
        <w:shd w:val="clear" w:color="auto" w:fill="FFFFFF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  <w:r w:rsidRPr="00510A3A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 xml:space="preserve">Mesures de sauvegarde / UE : </w:t>
      </w:r>
      <w:proofErr w:type="spellStart"/>
      <w:r w:rsidRPr="00510A3A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Assofermet</w:t>
      </w:r>
      <w:proofErr w:type="spellEnd"/>
      <w:r w:rsidRPr="00510A3A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 xml:space="preserve"> souhaite la </w:t>
      </w:r>
      <w:proofErr w:type="spellStart"/>
      <w:r w:rsidRPr="00510A3A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supression</w:t>
      </w:r>
      <w:proofErr w:type="spellEnd"/>
      <w:r w:rsidRPr="00510A3A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 xml:space="preserve"> des barrières commerciales</w:t>
      </w:r>
    </w:p>
    <w:p w14:paraId="798B1004" w14:textId="77777777" w:rsidR="00510A3A" w:rsidRPr="00510A3A" w:rsidRDefault="00510A3A" w:rsidP="00510A3A">
      <w:pPr>
        <w:shd w:val="clear" w:color="auto" w:fill="FFFFFF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</w:p>
    <w:p w14:paraId="23AE9073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proofErr w:type="spellStart"/>
      <w:r w:rsidRPr="00510A3A">
        <w:rPr>
          <w:rFonts w:eastAsia="Times New Roman" w:cstheme="minorHAnsi"/>
          <w:b/>
          <w:bCs/>
          <w:color w:val="000000"/>
          <w:lang w:eastAsia="fr-FR"/>
        </w:rPr>
        <w:t>Assofermet</w:t>
      </w:r>
      <w:proofErr w:type="spellEnd"/>
      <w:r w:rsidRPr="00510A3A">
        <w:rPr>
          <w:rFonts w:eastAsia="Times New Roman" w:cstheme="minorHAnsi"/>
          <w:b/>
          <w:bCs/>
          <w:color w:val="000000"/>
          <w:lang w:eastAsia="fr-FR"/>
        </w:rPr>
        <w:t>, l’association des distributeurs italiens d’acier et de métaux ferreux et non ferreux, exhorte l’UE à réexaminer les mesures de sauvegarde lesquelles engendrent des distorsions de marché importantes.</w:t>
      </w:r>
    </w:p>
    <w:p w14:paraId="7AE85F3F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Dans un courrier adressé à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la Commission européenne</w:t>
      </w:r>
      <w:r w:rsidRPr="00510A3A">
        <w:rPr>
          <w:rFonts w:eastAsia="Times New Roman" w:cstheme="minorHAnsi"/>
          <w:color w:val="000000"/>
          <w:lang w:eastAsia="fr-FR"/>
        </w:rPr>
        <w:t> daté du 30 juin dernier, l’association transalpine demande à ce que les mesures de sauvegarde, arrivant à expiration le 30 juin prochain, ne soient ni prolongées, ni réactivées à l’avenir.</w:t>
      </w:r>
    </w:p>
    <w:p w14:paraId="3F9ADB10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De l’avis d’</w:t>
      </w:r>
      <w:proofErr w:type="spellStart"/>
      <w:r w:rsidRPr="00510A3A">
        <w:rPr>
          <w:rFonts w:eastAsia="Times New Roman" w:cstheme="minorHAnsi"/>
          <w:color w:val="000000"/>
          <w:u w:val="single"/>
          <w:lang w:eastAsia="fr-FR"/>
        </w:rPr>
        <w:t>Assofermet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>, les restrictions à l’importation actuellement effectives en Europe ont contribué à exacerber les dernières pénuries sur les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plats</w:t>
      </w:r>
      <w:r w:rsidRPr="00510A3A">
        <w:rPr>
          <w:rFonts w:eastAsia="Times New Roman" w:cstheme="minorHAnsi"/>
          <w:color w:val="000000"/>
          <w:lang w:eastAsia="fr-FR"/>
        </w:rPr>
        <w:t>. L’association italienne a mis en lumière le fait que les fournisseurs européens ne sont pas en mesure de fournir les volumes requis de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plats</w:t>
      </w:r>
      <w:r w:rsidRPr="00510A3A">
        <w:rPr>
          <w:rFonts w:eastAsia="Times New Roman" w:cstheme="minorHAnsi"/>
          <w:color w:val="000000"/>
          <w:lang w:eastAsia="fr-FR"/>
        </w:rPr>
        <w:t> en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acier</w:t>
      </w:r>
      <w:r w:rsidRPr="00510A3A">
        <w:rPr>
          <w:rFonts w:eastAsia="Times New Roman" w:cstheme="minorHAnsi"/>
          <w:color w:val="000000"/>
          <w:lang w:eastAsia="fr-FR"/>
        </w:rPr>
        <w:t> au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carbone</w:t>
      </w:r>
      <w:r w:rsidRPr="00510A3A">
        <w:rPr>
          <w:rFonts w:eastAsia="Times New Roman" w:cstheme="minorHAnsi"/>
          <w:color w:val="000000"/>
          <w:lang w:eastAsia="fr-FR"/>
        </w:rPr>
        <w:t>, ni ceux de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plats</w:t>
      </w:r>
      <w:r w:rsidRPr="00510A3A">
        <w:rPr>
          <w:rFonts w:eastAsia="Times New Roman" w:cstheme="minorHAnsi"/>
          <w:color w:val="000000"/>
          <w:lang w:eastAsia="fr-FR"/>
        </w:rPr>
        <w:t> en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inox</w:t>
      </w:r>
      <w:r w:rsidRPr="00510A3A">
        <w:rPr>
          <w:rFonts w:eastAsia="Times New Roman" w:cstheme="minorHAnsi"/>
          <w:color w:val="000000"/>
          <w:lang w:eastAsia="fr-FR"/>
        </w:rPr>
        <w:t>.</w:t>
      </w:r>
    </w:p>
    <w:p w14:paraId="32D2D34C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i/>
          <w:iCs/>
          <w:color w:val="B22222"/>
          <w:lang w:eastAsia="fr-FR"/>
        </w:rPr>
        <w:t>Flambée des prix en Europe</w:t>
      </w:r>
    </w:p>
    <w:p w14:paraId="5D00E652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Parallèlement, les importations destinées à l’UE demeurent restreintes due à l’imposition de taxes et de mesures de sauvegarde. En conséquence, les prix européens ont opéré une remontée significative.</w:t>
      </w:r>
    </w:p>
    <w:p w14:paraId="0690BE38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De fait, ces derniers, qui ont bondi de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50 à 60% </w:t>
      </w:r>
      <w:r w:rsidRPr="00510A3A">
        <w:rPr>
          <w:rFonts w:eastAsia="Times New Roman" w:cstheme="minorHAnsi"/>
          <w:color w:val="000000"/>
          <w:lang w:eastAsia="fr-FR"/>
        </w:rPr>
        <w:t>au cours des derniers mois, sont bien supérieurs à ceux pratiqués en Asie, ce qui rend les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finis</w:t>
      </w:r>
      <w:r w:rsidRPr="00510A3A">
        <w:rPr>
          <w:rFonts w:eastAsia="Times New Roman" w:cstheme="minorHAnsi"/>
          <w:color w:val="000000"/>
          <w:lang w:eastAsia="fr-FR"/>
        </w:rPr>
        <w:t> transformés en Europe peu attractifs comparativement à ceux en vigueur sur les marchés internationaux.</w:t>
      </w:r>
    </w:p>
    <w:p w14:paraId="79DE296E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proofErr w:type="spellStart"/>
      <w:r w:rsidRPr="00510A3A">
        <w:rPr>
          <w:rFonts w:eastAsia="Times New Roman" w:cstheme="minorHAnsi"/>
          <w:color w:val="000000"/>
          <w:u w:val="single"/>
          <w:lang w:eastAsia="fr-FR"/>
        </w:rPr>
        <w:t>Assofermet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> a confirmé que les carnets de commandes des producteurs de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plats en acier au carbone</w:t>
      </w:r>
      <w:r w:rsidRPr="00510A3A">
        <w:rPr>
          <w:rFonts w:eastAsia="Times New Roman" w:cstheme="minorHAnsi"/>
          <w:color w:val="000000"/>
          <w:lang w:eastAsia="fr-FR"/>
        </w:rPr>
        <w:t> étaient remplis jusqu’au second semestre 2021. ce qui rend les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produits finis transformés</w:t>
      </w:r>
      <w:r w:rsidRPr="00510A3A">
        <w:rPr>
          <w:rFonts w:eastAsia="Times New Roman" w:cstheme="minorHAnsi"/>
          <w:color w:val="000000"/>
          <w:lang w:eastAsia="fr-FR"/>
        </w:rPr>
        <w:t> en Europe peu attractifs comparativement à ceux en vigueur sur les marchés internationaux.</w:t>
      </w:r>
    </w:p>
    <w:p w14:paraId="5AE85EEA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 xml:space="preserve">              En outre, les aciéristes ont poursuivi les opérations de distribution sur le marché aval, ce qui limite la concurrence. Les </w:t>
      </w:r>
      <w:proofErr w:type="spellStart"/>
      <w:r w:rsidRPr="00510A3A">
        <w:rPr>
          <w:rFonts w:eastAsia="Times New Roman" w:cstheme="minorHAnsi"/>
          <w:color w:val="000000"/>
          <w:lang w:eastAsia="fr-FR"/>
        </w:rPr>
        <w:t>relamineurs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>, distributeurs et utilisateurs finaux ont rencontré des difficultés financières dû à un protectionnisme accru.</w:t>
      </w:r>
    </w:p>
    <w:p w14:paraId="1F8E1DE3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Une situation qui a entraîné « </w:t>
      </w:r>
      <w:r w:rsidRPr="00510A3A">
        <w:rPr>
          <w:rFonts w:eastAsia="Times New Roman" w:cstheme="minorHAnsi"/>
          <w:i/>
          <w:iCs/>
          <w:color w:val="000000"/>
          <w:lang w:eastAsia="fr-FR"/>
        </w:rPr>
        <w:t>une concentration du pouvoir entre les mains des producteurs européens de premier plan, au détriment des opérateurs du marché aval</w:t>
      </w:r>
      <w:r w:rsidRPr="00510A3A">
        <w:rPr>
          <w:rFonts w:eastAsia="Times New Roman" w:cstheme="minorHAnsi"/>
          <w:color w:val="000000"/>
          <w:lang w:eastAsia="fr-FR"/>
        </w:rPr>
        <w:t> ».</w:t>
      </w:r>
    </w:p>
    <w:p w14:paraId="2A1D5001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La pénurie a été accentuée au cours des dernières semaines alors que des fournisseurs clés tels que </w:t>
      </w:r>
      <w:proofErr w:type="spellStart"/>
      <w:r w:rsidRPr="00510A3A">
        <w:rPr>
          <w:rFonts w:eastAsia="Times New Roman" w:cstheme="minorHAnsi"/>
          <w:color w:val="000000"/>
          <w:u w:val="single"/>
          <w:lang w:eastAsia="fr-FR"/>
        </w:rPr>
        <w:t>ThyssenKrupp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> et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Salzgitter</w:t>
      </w:r>
      <w:r w:rsidRPr="00510A3A">
        <w:rPr>
          <w:rFonts w:eastAsia="Times New Roman" w:cstheme="minorHAnsi"/>
          <w:color w:val="000000"/>
          <w:lang w:eastAsia="fr-FR"/>
        </w:rPr>
        <w:t> ont déclaré un cas de force majeure suite à des conditions climatiques défavorables outre-Rhin (</w:t>
      </w:r>
      <w:proofErr w:type="spellStart"/>
      <w:r w:rsidRPr="00510A3A">
        <w:rPr>
          <w:rFonts w:eastAsia="Times New Roman" w:cstheme="minorHAnsi"/>
          <w:color w:val="000000"/>
          <w:lang w:eastAsia="fr-FR"/>
        </w:rPr>
        <w:t>cf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 xml:space="preserve"> p5). </w:t>
      </w:r>
    </w:p>
    <w:p w14:paraId="4192F53A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i/>
          <w:iCs/>
          <w:color w:val="B22222"/>
          <w:lang w:eastAsia="fr-FR"/>
        </w:rPr>
        <w:t>Les constructeurs automobiles opposés aux mesures</w:t>
      </w:r>
    </w:p>
    <w:p w14:paraId="3DD69B1F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>Même constat pour les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constructeurs automobiles transalpins</w:t>
      </w:r>
      <w:r w:rsidRPr="00510A3A">
        <w:rPr>
          <w:rFonts w:eastAsia="Times New Roman" w:cstheme="minorHAnsi"/>
          <w:color w:val="000000"/>
          <w:lang w:eastAsia="fr-FR"/>
        </w:rPr>
        <w:t>, également en faveur de la suppression des mesures de sauvegarde dû à leur impact défavorable sur la filière, selon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ANFIA</w:t>
      </w:r>
      <w:r w:rsidRPr="00510A3A">
        <w:rPr>
          <w:rFonts w:eastAsia="Times New Roman" w:cstheme="minorHAnsi"/>
          <w:color w:val="000000"/>
          <w:lang w:eastAsia="fr-FR"/>
        </w:rPr>
        <w:t>, l’Association Nationale de l’Industrie Automobile Italienne.</w:t>
      </w:r>
    </w:p>
    <w:p w14:paraId="6D09C110" w14:textId="77777777" w:rsidR="00510A3A" w:rsidRPr="00510A3A" w:rsidRDefault="00510A3A" w:rsidP="00510A3A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510A3A">
        <w:rPr>
          <w:rFonts w:eastAsia="Times New Roman" w:cstheme="minorHAnsi"/>
          <w:color w:val="000000"/>
          <w:lang w:eastAsia="fr-FR"/>
        </w:rPr>
        <w:t xml:space="preserve">En effet, depuis le </w:t>
      </w:r>
      <w:proofErr w:type="spellStart"/>
      <w:r w:rsidRPr="00510A3A">
        <w:rPr>
          <w:rFonts w:eastAsia="Times New Roman" w:cstheme="minorHAnsi"/>
          <w:color w:val="000000"/>
          <w:lang w:eastAsia="fr-FR"/>
        </w:rPr>
        <w:t>rédémarrage</w:t>
      </w:r>
      <w:proofErr w:type="spellEnd"/>
      <w:r w:rsidRPr="00510A3A">
        <w:rPr>
          <w:rFonts w:eastAsia="Times New Roman" w:cstheme="minorHAnsi"/>
          <w:color w:val="000000"/>
          <w:lang w:eastAsia="fr-FR"/>
        </w:rPr>
        <w:t xml:space="preserve"> des opérations après le confinement, le </w:t>
      </w:r>
      <w:r w:rsidRPr="00510A3A">
        <w:rPr>
          <w:rFonts w:eastAsia="Times New Roman" w:cstheme="minorHAnsi"/>
          <w:color w:val="000000"/>
          <w:u w:val="single"/>
          <w:lang w:eastAsia="fr-FR"/>
        </w:rPr>
        <w:t>segment automobile</w:t>
      </w:r>
      <w:r w:rsidRPr="00510A3A">
        <w:rPr>
          <w:rFonts w:eastAsia="Times New Roman" w:cstheme="minorHAnsi"/>
          <w:color w:val="000000"/>
          <w:lang w:eastAsia="fr-FR"/>
        </w:rPr>
        <w:t> local pâtit des tensions sur les disponibilités en acier et, donc, du bond des prix. Les aciéries ont relancé très lentement leurs opérations, ce qui a entraîné un allongement significatif des délais de livraison lequel « </w:t>
      </w:r>
      <w:r w:rsidRPr="00510A3A">
        <w:rPr>
          <w:rFonts w:eastAsia="Times New Roman" w:cstheme="minorHAnsi"/>
          <w:i/>
          <w:iCs/>
          <w:color w:val="000000"/>
          <w:lang w:eastAsia="fr-FR"/>
        </w:rPr>
        <w:t>a menacé la capacité des usines à satisfaire la demande des clients </w:t>
      </w:r>
      <w:r w:rsidRPr="00510A3A">
        <w:rPr>
          <w:rFonts w:eastAsia="Times New Roman" w:cstheme="minorHAnsi"/>
          <w:color w:val="000000"/>
          <w:lang w:eastAsia="fr-FR"/>
        </w:rPr>
        <w:t>».</w:t>
      </w:r>
    </w:p>
    <w:p w14:paraId="2A40639F" w14:textId="77777777" w:rsidR="00510A3A" w:rsidRPr="00510A3A" w:rsidRDefault="00510A3A" w:rsidP="00510A3A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</w:p>
    <w:p w14:paraId="04D8B25F" w14:textId="77777777" w:rsidR="00B30C0B" w:rsidRPr="00510A3A" w:rsidRDefault="00B30C0B">
      <w:pPr>
        <w:rPr>
          <w:rFonts w:cstheme="minorHAnsi"/>
        </w:rPr>
      </w:pPr>
    </w:p>
    <w:sectPr w:rsidR="00B30C0B" w:rsidRPr="00510A3A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3A"/>
    <w:rsid w:val="000F156F"/>
    <w:rsid w:val="00510A3A"/>
    <w:rsid w:val="00B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E4949"/>
  <w15:chartTrackingRefBased/>
  <w15:docId w15:val="{9A104B46-8FD0-4A4B-84C4-37EDEEA6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0A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A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510A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10A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0A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10A3A"/>
    <w:rPr>
      <w:b/>
      <w:bCs/>
    </w:rPr>
  </w:style>
  <w:style w:type="character" w:styleId="Accentuation">
    <w:name w:val="Emphasis"/>
    <w:basedOn w:val="Policepardfaut"/>
    <w:uiPriority w:val="20"/>
    <w:qFormat/>
    <w:rsid w:val="00510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870">
          <w:marLeft w:val="0"/>
          <w:marRight w:val="0"/>
          <w:marTop w:val="300"/>
          <w:marBottom w:val="0"/>
          <w:divBdr>
            <w:top w:val="single" w:sz="6" w:space="0" w:color="29395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2021-02-23T07:26:00Z</dcterms:created>
  <dcterms:modified xsi:type="dcterms:W3CDTF">2021-02-23T07:27:00Z</dcterms:modified>
</cp:coreProperties>
</file>